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0.png" ContentType="image/png"/>
  <Override PartName="/word/media/rId68.png" ContentType="image/png"/>
  <Override PartName="/word/media/rId78.png" ContentType="image/png"/>
  <Override PartName="/word/media/rId82.png" ContentType="image/png"/>
  <Override PartName="/word/media/rId85.png" ContentType="image/png"/>
  <Override PartName="/word/media/rId71.png" ContentType="image/png"/>
  <Override PartName="/word/media/rId24.png" ContentType="image/png"/>
  <Override PartName="/word/media/rId35.png" ContentType="image/png"/>
  <Override PartName="/word/media/rId42.png" ContentType="image/png"/>
  <Override PartName="/word/media/rId46.png" ContentType="image/png"/>
  <Override PartName="/word/media/rId50.png" ContentType="image/png"/>
  <Override PartName="/word/media/rId53.png" ContentType="image/png"/>
  <Override PartName="/word/media/rId65.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2025-04-13</w:t>
      </w:r>
      <w:r>
        <w:t xml:space="preserve"> </w:t>
      </w:r>
      <w:r>
        <w:t xml:space="preserve">/</w:t>
      </w:r>
      <w:r>
        <w:t xml:space="preserve"> </w:t>
      </w:r>
      <w:r>
        <w:t xml:space="preserve">Executed:</w:t>
      </w:r>
      <w:r>
        <w:t xml:space="preserve"> </w:t>
      </w:r>
      <w:r>
        <w:t xml:space="preserve">2025-04-13</w:t>
      </w:r>
    </w:p>
    <w:bookmarkStart w:id="20" w:name="X3251a6dd016e845e54c064629779bb0e060bfbf"/>
    <w:p>
      <w:pPr>
        <w:pStyle w:val="Heading2"/>
      </w:pPr>
      <w:r>
        <w:t xml:space="preserve">Prerequisites and Expected Execution Time</w:t>
      </w:r>
    </w:p>
    <w:p>
      <w:pPr>
        <w:pStyle w:val="FirstParagraph"/>
      </w:pPr>
      <w:r>
        <w:t xml:space="preserve">Prerequisites: A0_Download.sh successfully completed</w:t>
      </w:r>
    </w:p>
    <w:p>
      <w:pPr>
        <w:pStyle w:val="BodyText"/>
      </w:pPr>
      <w:r>
        <w:t xml:space="preserve">Expected execution time: Less than 20 minutes (@ 12 physical cores, 24 logical cores, 32 GB RAM)</w:t>
      </w:r>
    </w:p>
    <w:bookmarkEnd w:id="20"/>
    <w:bookmarkStart w:id="21"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2"/>
      </w:pPr>
      <w:r>
        <w:t xml:space="preserve">Populations: ONS</w:t>
      </w:r>
    </w:p>
    <w:p>
      <w:pPr>
        <w:pStyle w:val="FirstParagraph"/>
      </w:pPr>
      <w:r>
        <w:t xml:space="preserve">ONS Crown Copyright Reserved [from Nomis on 25 June 2024]</w:t>
      </w:r>
    </w:p>
    <w:bookmarkEnd w:id="23"/>
    <w:bookmarkStart w:id="27" w:name="populations-aggregate-save-and-visualize"/>
    <w:p>
      <w:pPr>
        <w:pStyle w:val="Heading2"/>
      </w:pPr>
      <w:r>
        <w:t xml:space="preserve">Populations: Aggregate, Save, and Visualize</w:t>
      </w:r>
    </w:p>
    <w:p>
      <w:pPr>
        <w:pStyle w:val="SourceCode"/>
      </w:pPr>
      <w:r>
        <w:rPr>
          <w:rStyle w:val="VerbatimChar"/>
        </w:rPr>
        <w:t xml:space="preserve">## [1] "Populations.Rdata (is.na = 0)"</w:t>
      </w:r>
    </w:p>
    <w:p>
      <w:pPr>
        <w:pStyle w:val="SourceCode"/>
      </w:pPr>
      <w:r>
        <w:rPr>
          <w:rStyle w:val="VerbatimChar"/>
        </w:rPr>
        <w:t xml:space="preserve">##           used  (Mb) gc trigger  (Mb) max used  (Mb)</w:t>
      </w:r>
      <w:r>
        <w:br/>
      </w:r>
      <w:r>
        <w:rPr>
          <w:rStyle w:val="VerbatimChar"/>
        </w:rPr>
        <w:t xml:space="preserve">## Ncells 2477186 132.3    4350020 232.4  4350020 232.4</w:t>
      </w:r>
      <w:r>
        <w:br/>
      </w:r>
      <w:r>
        <w:rPr>
          <w:rStyle w:val="VerbatimChar"/>
        </w:rPr>
        <w:t xml:space="preserve">## Vcells 5740128  43.8   12115074  92.5 12115074  92.5</w:t>
      </w:r>
    </w:p>
    <w:p>
      <w:pPr>
        <w:pStyle w:val="FirstParagraph"/>
      </w:pPr>
      <w:r>
        <w:drawing>
          <wp:inline>
            <wp:extent cx="5334000" cy="5334000"/>
            <wp:effectExtent b="0" l="0" r="0" t="0"/>
            <wp:docPr descr="" title="" id="25" name="Picture"/>
            <a:graphic>
              <a:graphicData uri="http://schemas.openxmlformats.org/drawingml/2006/picture">
                <pic:pic>
                  <pic:nvPicPr>
                    <pic:cNvPr descr="../Plots/Figure_X1.png" id="26"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"Figure_X1: Population Data 2022, © European Union, 1995-2024 and ONS, 2024"</w:t>
      </w:r>
    </w:p>
    <w:bookmarkEnd w:id="27"/>
    <w:bookmarkStart w:id="28" w:name="deaths-eurostat"/>
    <w:p>
      <w:pPr>
        <w:pStyle w:val="Heading2"/>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8"/>
    <w:bookmarkStart w:id="30" w:name="deaths-portugal"/>
    <w:p>
      <w:pPr>
        <w:pStyle w:val="Heading2"/>
      </w:pPr>
      <w:r>
        <w:t xml:space="preserve">Deaths (Portugal)</w:t>
      </w:r>
    </w:p>
    <w:p>
      <w:pPr>
        <w:pStyle w:val="FirstParagraph"/>
      </w:pPr>
      <w:r>
        <w:t xml:space="preserve">Deaths (No.) by Place of residence (NUTS - 2013), Sex and Age group; Weekly - Statistics Portugal, Deaths</w:t>
      </w:r>
    </w:p>
    <w:p>
      <w:pPr>
        <w:pStyle w:val="BodyText"/>
      </w:pPr>
      <w:r>
        <w:t xml:space="preserve">Data for 2023 are based on the information registered in the Civil Register Offices until March 2024.</w:t>
      </w:r>
    </w:p>
    <w:p>
      <w:pPr>
        <w:pStyle w:val="BodyText"/>
      </w:pPr>
      <w:r>
        <w:t xml:space="preserve">Manually defined query of INE database</w:t>
      </w:r>
    </w:p>
    <w:p>
      <w:pPr>
        <w:pStyle w:val="BodyText"/>
      </w:pPr>
      <w:hyperlink r:id="rId29">
        <w:r>
          <w:rPr>
            <w:rStyle w:val="Hyperlink"/>
          </w:rPr>
          <w:t xml:space="preserve">https://www.ine.pt/xportal/xmain?xpid=INE&amp;xpgid=ine_bdc_tree&amp;contexto=bd&amp;selTab=tab2</w:t>
        </w:r>
      </w:hyperlink>
    </w:p>
    <w:p>
      <w:pPr>
        <w:pStyle w:val="BodyText"/>
      </w:pPr>
      <w:r>
        <w:t xml:space="preserve">© Instituto Nacional de Estatístíca, Portugal [from Portal on April 12, 2025]</w:t>
      </w:r>
    </w:p>
    <w:bookmarkEnd w:id="30"/>
    <w:bookmarkStart w:id="31" w:name="deaths-destatis"/>
    <w:p>
      <w:pPr>
        <w:pStyle w:val="Heading2"/>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End w:id="31"/>
    <w:bookmarkStart w:id="32" w:name="deaths-ons-commissioned"/>
    <w:p>
      <w:pPr>
        <w:pStyle w:val="Heading2"/>
      </w:pPr>
      <w:r>
        <w:t xml:space="preserve">Deaths (ONS, Commissioned)</w:t>
      </w:r>
    </w:p>
    <w:bookmarkEnd w:id="32"/>
    <w:bookmarkStart w:id="33" w:name="deaths-insee"/>
    <w:p>
      <w:pPr>
        <w:pStyle w:val="Heading2"/>
      </w:pPr>
      <w:r>
        <w:t xml:space="preserve">Deaths (INSEE)</w:t>
      </w:r>
    </w:p>
    <w:bookmarkEnd w:id="33"/>
    <w:bookmarkStart w:id="34" w:name="deaths-aggregate-and-save"/>
    <w:p>
      <w:pPr>
        <w:pStyle w:val="Heading2"/>
      </w:pPr>
      <w:r>
        <w:t xml:space="preserve">Deaths: Aggregate and Save</w:t>
      </w:r>
    </w:p>
    <w:p>
      <w:pPr>
        <w:pStyle w:val="SourceCode"/>
      </w:pPr>
      <w:r>
        <w:rPr>
          <w:rStyle w:val="VerbatimChar"/>
        </w:rPr>
        <w:t xml:space="preserve">## [1] "Deaths.Rdata (is.na = 0)"</w:t>
      </w:r>
    </w:p>
    <w:p>
      <w:pPr>
        <w:pStyle w:val="SourceCode"/>
      </w:pPr>
      <w:r>
        <w:rPr>
          <w:rStyle w:val="VerbatimChar"/>
        </w:rPr>
        <w:t xml:space="preserve">##            used  (Mb) gc trigger   (Mb)  max used   (Mb)</w:t>
      </w:r>
      <w:r>
        <w:br/>
      </w:r>
      <w:r>
        <w:rPr>
          <w:rStyle w:val="VerbatimChar"/>
        </w:rPr>
        <w:t xml:space="preserve">## Ncells  2671866 142.7   15799951  843.9  24687422 1318.5</w:t>
      </w:r>
      <w:r>
        <w:br/>
      </w:r>
      <w:r>
        <w:rPr>
          <w:rStyle w:val="VerbatimChar"/>
        </w:rPr>
        <w:t xml:space="preserve">## Vcells 39451537 301.0  429104378 3273.9 534432913 4077.4</w:t>
      </w:r>
    </w:p>
    <w:bookmarkEnd w:id="34"/>
    <w:bookmarkStart w:id="38"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6" name="Picture"/>
            <a:graphic>
              <a:graphicData uri="http://schemas.openxmlformats.org/drawingml/2006/picture">
                <pic:pic>
                  <pic:nvPicPr>
                    <pic:cNvPr descr="../Plots/Figure_X2.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"Figure_X2: Population 2018 on (0.1 ° x 0.1 °) Grid"</w:t>
      </w:r>
    </w:p>
    <w:p>
      <w:pPr>
        <w:pStyle w:val="SourceCode"/>
      </w:pPr>
      <w:r>
        <w:rPr>
          <w:rStyle w:val="VerbatimChar"/>
        </w:rPr>
        <w:t xml:space="preserve">##            used  (Mb) gc trigger   (Mb)  max used   (Mb)</w:t>
      </w:r>
      <w:r>
        <w:br/>
      </w:r>
      <w:r>
        <w:rPr>
          <w:rStyle w:val="VerbatimChar"/>
        </w:rPr>
        <w:t xml:space="preserve">## Ncells 13794165 736.7   34489778 1842.0  34489778 1842.0</w:t>
      </w:r>
      <w:r>
        <w:br/>
      </w:r>
      <w:r>
        <w:rPr>
          <w:rStyle w:val="VerbatimChar"/>
        </w:rPr>
        <w:t xml:space="preserve">## Vcells 60082507 458.4  274626803 2095.3 534432913 4077.4</w:t>
      </w:r>
    </w:p>
    <w:bookmarkEnd w:id="38"/>
    <w:bookmarkStart w:id="45" w:name="daily-mean-temperatures"/>
    <w:p>
      <w:pPr>
        <w:pStyle w:val="Heading2"/>
      </w:pPr>
      <w:r>
        <w:t xml:space="preserve">Daily Mean Temperatures</w:t>
      </w:r>
    </w:p>
    <w:p>
      <w:pPr>
        <w:pStyle w:val="FirstParagraph"/>
      </w:pPr>
      <w:r>
        <w:t xml:space="preserve">Acknowledgment: We acknowledge the E-OBS dataset from the EU-FP6 project UERRA (</w:t>
      </w:r>
      <w:hyperlink r:id="rId39">
        <w:r>
          <w:rPr>
            <w:rStyle w:val="Hyperlink"/>
          </w:rPr>
          <w:t xml:space="preserve">https://www.uerra.eu</w:t>
        </w:r>
      </w:hyperlink>
      <w:r>
        <w:t xml:space="preserve">) and the Copernicus Climate Change Service, and the data providers in the ECA&amp;D project (</w:t>
      </w:r>
      <w:hyperlink r:id="rId40">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41">
        <w:r>
          <w:rPr>
            <w:rStyle w:val="Hyperlink"/>
          </w:rPr>
          <w:t xml:space="preserve">doi:10.1029/2017JD028200</w:t>
        </w:r>
      </w:hyperlink>
    </w:p>
    <w:p>
      <w:pPr>
        <w:pStyle w:val="SourceCode"/>
      </w:pPr>
      <w:r>
        <w:rPr>
          <w:rStyle w:val="VerbatimChar"/>
        </w:rPr>
        <w:t xml:space="preserve">## [1] "Temperatures.Rdata (is.na = 3225)"</w:t>
      </w:r>
    </w:p>
    <w:p>
      <w:pPr>
        <w:pStyle w:val="SourceCode"/>
      </w:pPr>
      <w:r>
        <w:rPr>
          <w:rStyle w:val="VerbatimChar"/>
        </w:rPr>
        <w:t xml:space="preserve">##            used  (Mb) gc trigger    (Mb)   max used    (Mb)</w:t>
      </w:r>
      <w:r>
        <w:br/>
      </w:r>
      <w:r>
        <w:rPr>
          <w:rStyle w:val="VerbatimChar"/>
        </w:rPr>
        <w:t xml:space="preserve">## Ncells  2773110 148.2   14127015   754.5   34489778  1842.0</w:t>
      </w:r>
      <w:r>
        <w:br/>
      </w:r>
      <w:r>
        <w:rPr>
          <w:rStyle w:val="VerbatimChar"/>
        </w:rPr>
        <w:t xml:space="preserve">## Vcells 63290749 482.9 2916635148 22252.2 3645790074 27815.2</w:t>
      </w:r>
    </w:p>
    <w:p>
      <w:pPr>
        <w:pStyle w:val="FirstParagraph"/>
      </w:pPr>
      <w:r>
        <w:drawing>
          <wp:inline>
            <wp:extent cx="5334000" cy="2667000"/>
            <wp:effectExtent b="0" l="0" r="0" t="0"/>
            <wp:docPr descr="" title="" id="43" name="Picture"/>
            <a:graphic>
              <a:graphicData uri="http://schemas.openxmlformats.org/drawingml/2006/picture">
                <pic:pic>
                  <pic:nvPicPr>
                    <pic:cNvPr descr="../Plots/Figure_X3.png" id="44"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"Figure_X3: Hot Stretches by Region (2000-01-01 to 2024-12-31)"</w:t>
      </w:r>
    </w:p>
    <w:bookmarkEnd w:id="45"/>
    <w:bookmarkStart w:id="49" w:name="temperature-plots"/>
    <w:p>
      <w:pPr>
        <w:pStyle w:val="Heading2"/>
      </w:pPr>
      <w:r>
        <w:t xml:space="preserve">Temperature Plots</w:t>
      </w:r>
    </w:p>
    <w:p>
      <w:pPr>
        <w:pStyle w:val="FirstParagraph"/>
      </w:pPr>
      <w:r>
        <w:drawing>
          <wp:inline>
            <wp:extent cx="5334000" cy="2667000"/>
            <wp:effectExtent b="0" l="0" r="0" t="0"/>
            <wp:docPr descr="" title="" id="47" name="Picture"/>
            <a:graphic>
              <a:graphicData uri="http://schemas.openxmlformats.org/drawingml/2006/picture">
                <pic:pic>
                  <pic:nvPicPr>
                    <pic:cNvPr descr="../Plots/Figure_X4.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"Figure_X4: Average Temperatures"</w:t>
      </w:r>
    </w:p>
    <w:bookmarkEnd w:id="49"/>
    <w:bookmarkStart w:id="56"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51" name="Picture"/>
            <a:graphic>
              <a:graphicData uri="http://schemas.openxmlformats.org/drawingml/2006/picture">
                <pic:pic>
                  <pic:nvPicPr>
                    <pic:cNvPr descr="../Plots/Figure_X5.png" id="52"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"Figure_X5: Deaths (Observed)"</w:t>
      </w:r>
    </w:p>
    <w:p>
      <w:pPr>
        <w:pStyle w:val="FirstParagraph"/>
      </w:pPr>
      <w:r>
        <w:drawing>
          <wp:inline>
            <wp:extent cx="5334000" cy="6400800"/>
            <wp:effectExtent b="0" l="0" r="0" t="0"/>
            <wp:docPr descr="" title="" id="54" name="Picture"/>
            <a:graphic>
              <a:graphicData uri="http://schemas.openxmlformats.org/drawingml/2006/picture">
                <pic:pic>
                  <pic:nvPicPr>
                    <pic:cNvPr descr="../Plots/Figure_X6.png" id="55"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"Figure_X6: Deaths (EU27 Standard Population)"</w:t>
      </w:r>
    </w:p>
    <w:bookmarkEnd w:id="56"/>
    <w:bookmarkStart w:id="63" w:name="exposure-response-raw"/>
    <w:p>
      <w:pPr>
        <w:pStyle w:val="Heading2"/>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BodyText"/>
      </w:pPr>
      <w:r>
        <w:drawing>
          <wp:inline>
            <wp:extent cx="5334000" cy="5334000"/>
            <wp:effectExtent b="0" l="0" r="0" t="0"/>
            <wp:docPr descr="" title="" id="58" name="Picture"/>
            <a:graphic>
              <a:graphicData uri="http://schemas.openxmlformats.org/drawingml/2006/picture">
                <pic:pic>
                  <pic:nvPicPr>
                    <pic:cNvPr descr="../Plots/Figure_1.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"Figure_1: Raw Exposure Response Curves (Summer), Incremental Deaths"</w:t>
      </w:r>
    </w:p>
    <w:p>
      <w:pPr>
        <w:pStyle w:val="FirstParagraph"/>
      </w:pPr>
      <w:r>
        <w:drawing>
          <wp:inline>
            <wp:extent cx="5334000" cy="5334000"/>
            <wp:effectExtent b="0" l="0" r="0" t="0"/>
            <wp:docPr descr="" title="" id="61" name="Picture"/>
            <a:graphic>
              <a:graphicData uri="http://schemas.openxmlformats.org/drawingml/2006/picture">
                <pic:pic>
                  <pic:nvPicPr>
                    <pic:cNvPr descr="../Plots/Figure_2.png" id="62"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"Figure_2: Raw Exposure Response Curves (Summer), Incremental Deaths, 74-84 and 85+ Years"</w:t>
      </w:r>
    </w:p>
    <w:bookmarkEnd w:id="63"/>
    <w:bookmarkStart w:id="64"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p>
      <w:pPr>
        <w:pStyle w:val="SourceCode"/>
      </w:pPr>
      <w:r>
        <w:rPr>
          <w:rStyle w:val="VerbatimChar"/>
        </w:rPr>
        <w:t xml:space="preserve">##            used  (Mb) gc trigger    (Mb)   max used    (Mb)</w:t>
      </w:r>
      <w:r>
        <w:br/>
      </w:r>
      <w:r>
        <w:rPr>
          <w:rStyle w:val="VerbatimChar"/>
        </w:rPr>
        <w:t xml:space="preserve">## Ncells  2843865 151.9   11301612   603.6   34489778  1842.0</w:t>
      </w:r>
      <w:r>
        <w:br/>
      </w:r>
      <w:r>
        <w:rPr>
          <w:rStyle w:val="VerbatimChar"/>
        </w:rPr>
        <w:t xml:space="preserve">## Vcells 52298918 399.1 2333308119 17801.8 3645790074 27815.2</w:t>
      </w:r>
    </w:p>
    <w:bookmarkEnd w:id="64"/>
    <w:bookmarkStart w:id="77"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(along with the slope (s_zero) at this point),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Total number of deaths processed = 34671737</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71"/>
        <w:gridCol w:w="1180"/>
        <w:gridCol w:w="1180"/>
        <w:gridCol w:w="1180"/>
        <w:gridCol w:w="1320"/>
        <w:gridCol w:w="1320"/>
        <w:gridCol w:w="1320"/>
        <w:gridCol w:w="1320"/>
        <w:gridCol w:w="1320"/>
        <w:gridCol w:w="1180"/>
        <w:gridCol w:w="1180"/>
      </w:tblGrid>
      <w:tr>
        <w:trPr>
          <w:trHeight w:val="58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EN.WA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w:t>
            </w:r>
          </w:p>
        </w:tc>
      </w:tr>
      <w:tr>
        <w:trPr>
          <w:trHeight w:val="60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48,703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28,645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391,037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157,861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243,588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44,428</w:t>
            </w:r>
          </w:p>
        </w:tc>
      </w:tr>
      <w:tr>
        <w:trPr>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400,673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45,277</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45,063</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268,899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47,685</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44,292</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388,813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43,279</w:t>
            </w:r>
          </w:p>
        </w:tc>
      </w:tr>
      <w:tr>
        <w:trPr>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399,723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44,606</w:t>
            </w:r>
          </w:p>
        </w:tc>
      </w:tr>
      <w:tr>
        <w:trPr>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43,696</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44,105</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44,538</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46,090</w:t>
            </w:r>
          </w:p>
        </w:tc>
      </w:tr>
      <w:tr>
        <w:trPr>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403,309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44,000</w:t>
            </w:r>
          </w:p>
        </w:tc>
      </w:tr>
      <w:tr>
        <w:trPr>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410,213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287,384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44,567</w:t>
            </w:r>
          </w:p>
        </w:tc>
      </w:tr>
      <w:tr>
        <w:trPr>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417,198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46,833</w:t>
            </w:r>
          </w:p>
        </w:tc>
      </w:tr>
      <w:tr>
        <w:trPr>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44,953</w:t>
            </w:r>
          </w:p>
        </w:tc>
      </w:tr>
      <w:tr>
        <w:trPr>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431,523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306,346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45,009</w:t>
            </w:r>
          </w:p>
        </w:tc>
      </w:tr>
      <w:tr>
        <w:trPr>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267,463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288,786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47,751</w:t>
            </w:r>
          </w:p>
        </w:tc>
      </w:tr>
      <w:tr>
        <w:trPr>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300,535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46,053</w:t>
            </w:r>
          </w:p>
        </w:tc>
      </w:tr>
      <w:tr>
        <w:trPr>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273,671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293,296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48,652</w:t>
            </w:r>
          </w:p>
        </w:tc>
      </w:tr>
      <w:tr>
        <w:trPr>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443,748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275,474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299,078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47,459</w:t>
            </w:r>
          </w:p>
        </w:tc>
      </w:tr>
      <w:tr>
        <w:trPr>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453,808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292,366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320,667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77,191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53,679</w:t>
            </w:r>
          </w:p>
        </w:tc>
      </w:tr>
      <w:tr>
        <w:trPr>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324,136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49,130</w:t>
            </w:r>
          </w:p>
        </w:tc>
      </w:tr>
      <w:tr>
        <w:trPr>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498,224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262,279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333,638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55,774</w:t>
            </w:r>
          </w:p>
        </w:tc>
      </w:tr>
      <w:tr>
        <w:trPr>
          <w:trHeight w:val="60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39,977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32,998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469,345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191,123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286,382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303,611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77,105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51,296</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481</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549</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513</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561</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787</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696</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918</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749</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19,336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19,336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5,254</w:t>
            </w:r>
          </w:p>
        </w:tc>
      </w:tr>
    </w:tbl>
    <w:p>
      <w:pPr>
        <w:pStyle w:val="BodyText"/>
      </w:pPr>
      <w:r>
        <w:drawing>
          <wp:inline>
            <wp:extent cx="5334000" cy="2667000"/>
            <wp:effectExtent b="0" l="0" r="0" t="0"/>
            <wp:docPr descr="" title="" id="66" name="Picture"/>
            <a:graphic>
              <a:graphicData uri="http://schemas.openxmlformats.org/drawingml/2006/picture">
                <pic:pic>
                  <pic:nvPicPr>
                    <pic:cNvPr descr="../Plots/Figure_X7.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"Figure_X7: Residuals of Regression Fits for T_0 across Years and Regions"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58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 [0.70, 1.67]</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[0.70, 1.61]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[0.63, 1.05]</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[0.51, 0.85]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[0.24, 1.10]</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[0.35, 0.64]</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 [-0.03, 0.79]</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 [-0.12, 0.81]</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[-1.44, 1.46]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[-0.36, 0.03]</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Sensitivity at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920"/>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[1/°C/10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-0.038 [-0.059, -0.017]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 [-0.037, 0.011]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 [-0.023, -0.003]</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-0.010 [-0.019, -0.002]</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 [-0.032, 0.014]</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 [-0.029, 0.012]</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-0.004 [-0.011, 0.004]</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 [-0.068, 0.075]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0.005 [-0.004, 0.015]</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0.026 [0.004, 0.049]</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Country, Sex, and Age Group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Region, Sex, and Age Group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74"/>
        <w:gridCol w:w="1111"/>
        <w:gridCol w:w="1251"/>
        <w:gridCol w:w="1251"/>
        <w:gridCol w:w="1251"/>
        <w:gridCol w:w="1174"/>
        <w:gridCol w:w="1314"/>
        <w:gridCol w:w="1314"/>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bl>
    <w:p>
      <w:pPr>
        <w:pStyle w:val="FirstParagraph"/>
      </w:pPr>
      <w:r>
        <w:drawing>
          <wp:inline>
            <wp:extent cx="5334000" cy="2667000"/>
            <wp:effectExtent b="0" l="0" r="0" t="0"/>
            <wp:docPr descr="" title="" id="69" name="Picture"/>
            <a:graphic>
              <a:graphicData uri="http://schemas.openxmlformats.org/drawingml/2006/picture">
                <pic:pic>
                  <pic:nvPicPr>
                    <pic:cNvPr descr="../Plots/Figure_3.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"Figure_3: Onset of Heat-Related Risk, for 2019, Regression Fit across Years"</w:t>
      </w:r>
    </w:p>
    <w:p>
      <w:pPr>
        <w:pStyle w:val="FirstParagraph"/>
      </w:pPr>
      <w:r>
        <w:drawing>
          <wp:inline>
            <wp:extent cx="5334000" cy="2667000"/>
            <wp:effectExtent b="0" l="0" r="0" t="0"/>
            <wp:docPr descr="" title="" id="72" name="Picture"/>
            <a:graphic>
              <a:graphicData uri="http://schemas.openxmlformats.org/drawingml/2006/picture">
                <pic:pic>
                  <pic:nvPicPr>
                    <pic:cNvPr descr="../Plots/Figure_S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"Figure_S1: Difference of Onset of Heat-Related Risk compared to Max. by Region and Sex, for 2019, Regression Fit across Years"</w:t>
      </w:r>
    </w:p>
    <w:p>
      <w:pPr>
        <w:pStyle w:val="FirstParagraph"/>
      </w:pPr>
      <w:r>
        <w:drawing>
          <wp:inline>
            <wp:extent cx="5334000" cy="2667000"/>
            <wp:effectExtent b="0" l="0" r="0" t="0"/>
            <wp:docPr descr="" title="" id="75" name="Picture"/>
            <a:graphic>
              <a:graphicData uri="http://schemas.openxmlformats.org/drawingml/2006/picture">
                <pic:pic>
                  <pic:nvPicPr>
                    <pic:cNvPr descr="../Plots/Figure_X8.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"Figure_X8: Minima of Heat-Related Risk, for 2019, Regression Fit across Years"</w:t>
      </w:r>
    </w:p>
    <w:bookmarkEnd w:id="77"/>
    <w:bookmarkStart w:id="81"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w:t>
      </w:r>
    </w:p>
    <w:p>
      <w:pPr>
        <w:pStyle w:val="BodyText"/>
      </w:pPr>
      <w:r>
        <w:drawing>
          <wp:inline>
            <wp:extent cx="5334000" cy="2667000"/>
            <wp:effectExtent b="0" l="0" r="0" t="0"/>
            <wp:docPr descr="" title="" id="79" name="Picture"/>
            <a:graphic>
              <a:graphicData uri="http://schemas.openxmlformats.org/drawingml/2006/picture">
                <pic:pic>
                  <pic:nvPicPr>
                    <pic:cNvPr descr="../Plots/Figure_4.pn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"Figure_4: Heat-Related Response, Common model,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226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Power</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 [1.71, 1.73]</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 [1.69, 1.70]</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3.36 [3.29, 3.42]</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 [1.96, 2.00]</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4.36 [4.31, 4.41]</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3.43 [3.36, 3.51]</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 [3.71, 3.84]</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 [1.74, 1.76]</w:t>
            </w:r>
          </w:p>
        </w:tc>
      </w:tr>
    </w:tbl>
    <w:bookmarkEnd w:id="81"/>
    <w:bookmarkStart w:id="88"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 != 1) and Trend (* != 0)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050"/>
        <w:gridCol w:w="816"/>
        <w:gridCol w:w="2812"/>
        <w:gridCol w:w="297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 (-0.14 to 2.03)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(-0.16 to 0.09) </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 (0.44 to 1.61)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(-0.14 to -0.01)  *</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 (0.06 to 1.19)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(-0.21 to -0.07)  *</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(0.65 to 1.70)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(-0.08 to 0.04) </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0.89 (0.59 to 1.19)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(-0.12 to -0.05)  *</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 (0.67 to 1.46)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(-0.12 to -0.02)  *</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0.78 (0.59 to 0.97)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(-0.10 to -0.05)  *</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(0.78 to 1.55)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(-0.11 to -0.01)  *</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 (0.56 to 2.60)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(-0.13 to 0.06) </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 (0.94 to 2.13)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0.07) </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(0.38 to 1.95)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(-0.13 to 0.02) </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1.27 (0.72 to 1.82)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(-0.08 to 0.02) </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(0.47 to 0.95)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-0.03)  *</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1.21 (0.81 to 1.61)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(0.77 to 1.05)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-0.02)  *</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 (1.01 to 1.64)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(-0.03 to 0.04) </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(-0.22 to 0.76)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0.00) </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(0.13 to 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(-0.07 to -0.01)  *</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(0.68 to 1.64)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0.03) </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 (1.10 to 2.32)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0.08) </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 (1.15 to 1.99)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(-0.07 to -0.00)  *</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 (2.11 to 3.16)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(0.04 to 0.13)  *</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 (0.86 to 1.22)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0.01) </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 (1.17 to 2.09)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(-0.00 to 0.08) </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0.82 (0.48 to 1.15)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(-0.09 to -0.03)  *</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(1.02 to 1.41)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-0.04)  *</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 (0.48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(-0.11 to -0.07)  *</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 (0.81 to 1.24)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-0.06)  *</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0.43 (0.33 to 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(-0.10 to -0.08)  *</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 (0.59 to 0.86)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-0.07)  *</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 (0.52 to 0.66)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(-0.13 to -0.12)  *</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(0.70 to 0.92)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(-0.12 to -0.10)  *</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0.93 (0.61 to 1.26)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-0.02)  *</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0.90 (0.76 to 1.04)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0.01) </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(0.67 to 0.94)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0.85 (0.73 to 0.98)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-0.01)  *</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 (0.67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(0.73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 (0.61 to 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(0.79 to 0.94)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(-0.02 to -0.01)  *</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 (0.94 to 1.56)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0.08) </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(0.79 to 1.21)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(0.03 to 0.11)  *</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1.05 (0.87 to 1.22)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(-0.04 to 0.04) </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(0.52 to 0.83)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0.00) </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0.87 (0.80 to 0.94)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-0.01)  *</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(0.90 to 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-0.01)  *</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 (1.27 to 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(-0.01 to 0.01) </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 (1.20 to 1.36)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0.00) </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(0.19 to 1.35)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(-0.35 to 0.11) </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 (-0.18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 (-0.48 to 0.00) </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(0.31 to 1.03)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(-0.24 to 0.15) </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 (0.04 to 0.63)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(-0.10 to 0.15) </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 (0.09 to 0.55)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(-0.19 to 0.14) </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 (0.10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(-0.18 to 0.16) </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0.57 (0.40 to 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(-0.07 to 0.14) </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 (0.45 to 0.98)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(-0.13 to 0.11) </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(0.02 to 2.30)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to 0.08) </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 (1.39 to 2.79)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0.08) </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1.36 (0.76 to 1.96)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 (-0.19 to -0.07)  *</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 (0.50 to 1.75)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(-0.23 to -0.10)  *</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 (1.02 to 1.48)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(-0.23 to -0.18)  *</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 (0.92 to 1.71)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(-0.23 to -0.15)  *</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 (0.91 to 1.18)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(-0.14 to -0.11)  *</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 (1.40 to 2.07)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(-0.15 to -0.07)  *</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(0.35 to 1.36)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(-0.09 to 0.01) </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(0.91 to 1.52)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(-0.03 to 0.03) </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 (0.20 to 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(-0.14 to -0.08)  *</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 (0.73 to 1.30)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-0.01)  *</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 (0.53 to 0.70)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(-0.08 to -0.06)  *</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(0.59 to 0.83)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(-0.06 to -0.04)  *</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 (0.70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-0.05)  *</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(0.60 to 0.75)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-0.03)  *</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(-0.99 to 1.65)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(-0.21 to 0.04) </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 (-0.10 to 2.05)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to 0.07) </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 (-0.43 to 1.08)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(-0.14 to 0.02) </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(0.35 to 1.48)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0.08) </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 (0.58 to 2.20)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(-0.19 to -0.03)  *</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(0.61 to 1.39)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0.87 (0.60 to 1.13)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0.00) </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1.21 (0.63 to 1.80)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(-0.07 to 0.06) </w:t>
            </w:r>
          </w:p>
        </w:tc>
      </w:tr>
    </w:tbl>
    <w:p>
      <w:pPr>
        <w:pStyle w:val="BodyText"/>
      </w:pPr>
      <w:r>
        <w:drawing>
          <wp:inline>
            <wp:extent cx="5334000" cy="3733799"/>
            <wp:effectExtent b="0" l="0" r="0" t="0"/>
            <wp:docPr descr="" title="" id="83" name="Picture"/>
            <a:graphic>
              <a:graphicData uri="http://schemas.openxmlformats.org/drawingml/2006/picture">
                <pic:pic>
                  <pic:nvPicPr>
                    <pic:cNvPr descr="../Plots/Figure_5.png" id="84" name="Picture"/>
                    <pic:cNvPicPr>
                      <a:picLocks noChangeArrowheads="1" noChangeAspect="1"/>
                    </pic:cNvPicPr>
                  </pic:nvPicPr>
                  <pic:blipFill>
                    <a:blip r:embed="rId82"/>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"Figure_5: Heat Sensitivity (2019): Scale x Common Age-Sex Response (across Countries and 2000-2023)"</w:t>
      </w:r>
    </w:p>
    <w:p>
      <w:pPr>
        <w:pStyle w:val="FirstParagraph"/>
      </w:pPr>
      <w:r>
        <w:drawing>
          <wp:inline>
            <wp:extent cx="5334000" cy="3733799"/>
            <wp:effectExtent b="0" l="0" r="0" t="0"/>
            <wp:docPr descr="" title="" id="86" name="Picture"/>
            <a:graphic>
              <a:graphicData uri="http://schemas.openxmlformats.org/drawingml/2006/picture">
                <pic:pic>
                  <pic:nvPicPr>
                    <pic:cNvPr descr="../Plots/Figure_6.png" id="87" name="Picture"/>
                    <pic:cNvPicPr>
                      <a:picLocks noChangeArrowheads="1" noChangeAspect="1"/>
                    </pic:cNvPicPr>
                  </pic:nvPicPr>
                  <pic:blipFill>
                    <a:blip r:embed="rId85"/>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"Figure_6: Heat Sensitivity Trend (2000-2023): Slope = Annual Change to Factor"</w:t>
      </w:r>
    </w:p>
    <w:bookmarkEnd w:id="88"/>
    <w:bookmarkStart w:id="89" w:name="Xf3ae6d3be7695ce650aff84ac1cc66743d72fcc"/>
    <w:p>
      <w:pPr>
        <w:pStyle w:val="Heading2"/>
      </w:pPr>
      <w:r>
        <w:t xml:space="preserve">Pass 4 - Heat-Related and Excess Mortality</w:t>
      </w:r>
    </w:p>
    <w:p>
      <w:pPr>
        <w:pStyle w:val="FirstParagraph"/>
      </w:pPr>
      <w:r>
        <w:t xml:space="preserve">Compute and juxtapose heat-related and excess mortality by country by year, summed over regions, sex, and age groups. Exploratory check only, for the appendix.</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600/592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279/307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743/752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1089/1092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2633/2656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855/850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2394/2461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138/134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288/271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548/555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1138/1272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2693/2697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3939/4005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723/714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4067/4143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479/455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621/646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1843/1866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3746/3786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1800/1804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243/291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568/620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689/741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3026/2958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18398/18473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11409/11449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2807/2797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9468/9533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608/700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1013/1049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1024/1032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2660/2721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558/620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2828/2983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597/647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1136/1242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2349/2453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4224/4288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732/741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1824/1917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264/239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487/522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1360/1397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2520/2774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3003/3073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9958/9989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1763/1762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4491/4594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294/261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614/613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2816/2888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1606/1632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36/14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966/1020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2802/2864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2516/2595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215/213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1209/1252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2750/2811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725/726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2916/2967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43/44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523/542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596/626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336/547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1391/1519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6745/6741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1645/1654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3053/3173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296/291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288/298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643/700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1993/1990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5384/5492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2971/3033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174/182</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562/612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323/323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819/919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3405/3434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9244/9296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728/756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2421/2512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800/822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-419/-535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1546/1588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3980/3993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6128/6188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2200/2195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3649/3696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210/218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438/455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649/489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1144/1187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3490/3542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2690/2805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474/510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2372/2395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95/138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949/1019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614/686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3380/3441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8637/8679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13512/13565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387/358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575/611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6105/6101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745/795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1544/1583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2173/2265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5956/5985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4619/4714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369/415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3496/3550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135/132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564/597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367/399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816/623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2272/2375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3248/3269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10469/10556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1200/1187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3649/3706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133/155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679/743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964/1000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2034/1848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3330/3464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11843/11906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6555/6638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516/571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1227/1243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3817/3846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321/360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550/624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1393/1183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3091/3155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8480/8557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7977/8108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466/472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522/526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3027/3054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209/202</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267/224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2971/2965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1756/1808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2206/2261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9853/9971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772/731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5983/6026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143/176</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403/452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1087/1143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3087/3182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3342/3404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10765/10869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634/689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791/793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4413/4497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404/430</w:t>
            </w:r>
          </w:p>
        </w:tc>
      </w:tr>
    </w:tbl>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8" Target="media/rId68.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1" Target="media/rId71.png" /><Relationship Type="http://schemas.openxmlformats.org/officeDocument/2006/relationships/image" Id="rId24" Target="media/rId24.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hyperlink" Id="rId41" Target="doi:10.1029/2017JD028200" TargetMode="External" /><Relationship Type="http://schemas.openxmlformats.org/officeDocument/2006/relationships/hyperlink" Id="rId40" Target="https://www.ecad.eu" TargetMode="External" /><Relationship Type="http://schemas.openxmlformats.org/officeDocument/2006/relationships/hyperlink" Id="rId29" Target="https://www.ine.pt/xportal/xmain?xpid=INE&amp;xpgid=ine_bdc_tree&amp;contexto=bd&amp;selTab=tab2" TargetMode="External" /><Relationship Type="http://schemas.openxmlformats.org/officeDocument/2006/relationships/hyperlink" Id="rId39"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41" Target="doi:10.1029/2017JD028200" TargetMode="External" /><Relationship Type="http://schemas.openxmlformats.org/officeDocument/2006/relationships/hyperlink" Id="rId40" Target="https://www.ecad.eu" TargetMode="External" /><Relationship Type="http://schemas.openxmlformats.org/officeDocument/2006/relationships/hyperlink" Id="rId29" Target="https://www.ine.pt/xportal/xmain?xpid=INE&amp;xpgid=ine_bdc_tree&amp;contexto=bd&amp;selTab=tab2" TargetMode="External" /><Relationship Type="http://schemas.openxmlformats.org/officeDocument/2006/relationships/hyperlink" Id="rId39"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2025-04-13T18:40:19Z</dcterms:created>
  <dcterms:modified xsi:type="dcterms:W3CDTF">2025-04-13T18:40:19Z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2025-04-13 / Executed: 2025-04-13</vt:lpwstr>
  </property>
  <property fmtid="{D5CDD505-2E9C-101B-9397-08002B2CF9AE}" pid="3" name="output">
    <vt:lpwstr>word_document</vt:lpwstr>
  </property>
</Properties>
</file>